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6A" w:rsidRPr="003A116A" w:rsidRDefault="003A116A" w:rsidP="003A116A">
      <w:pPr>
        <w:shd w:val="clear" w:color="auto" w:fill="FFFFFF"/>
        <w:spacing w:after="176" w:line="240" w:lineRule="auto"/>
        <w:outlineLvl w:val="1"/>
        <w:rPr>
          <w:rFonts w:ascii="Trebuchet MS" w:eastAsia="Times New Roman" w:hAnsi="Trebuchet MS" w:cs="Times New Roman"/>
          <w:color w:val="007BC4"/>
          <w:sz w:val="32"/>
          <w:szCs w:val="32"/>
          <w:lang w:eastAsia="ru-RU"/>
        </w:rPr>
      </w:pPr>
      <w:r w:rsidRPr="003A116A">
        <w:rPr>
          <w:rFonts w:ascii="Trebuchet MS" w:eastAsia="Times New Roman" w:hAnsi="Trebuchet MS" w:cs="Times New Roman"/>
          <w:color w:val="007BC4"/>
          <w:sz w:val="32"/>
          <w:szCs w:val="32"/>
          <w:lang w:eastAsia="ru-RU"/>
        </w:rPr>
        <w:t>Методика определения уровня умственного развития детей младшего школьного возраста</w:t>
      </w:r>
    </w:p>
    <w:p w:rsidR="003A116A" w:rsidRPr="003A116A" w:rsidRDefault="003A116A" w:rsidP="003A116A">
      <w:pPr>
        <w:shd w:val="clear" w:color="auto" w:fill="FFFFFF"/>
        <w:spacing w:after="176" w:line="263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Цель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изучение уровня умственного развития детей младшего школьного возраста.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Стимульный материал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Тест состоит из четырех субтестов, включающих в себя вербальные задания.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I субтест</w:t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исследование способностей отличать существенные признаки предметов и явлений от несущественных, а также оценка запаса знаний испытуемого;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II субтест</w:t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исследование способностей обобщения и отвлечения, а также выделения существенных признаков предметов и явлений;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III субтест</w:t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исследование способности устанавливать логические связи и отношения между понятиями;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IV субтест</w:t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выявление умения обобщать.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Порядок проведения</w:t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Задания читаются вслух экспериментатором, ребенок читает одновременно про себя. Лучше всего проводить данный тест индивидуально с испытуемым. Это дает возможность выяснить причины ошибок ребенка и ход его рассуждений при помощи дополнительных вопросов.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Текст методики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I субтест</w:t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Инструкция: «Выбери одно из слов, заключенных в скобки, которое правильно закончит начатое предложение».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а) У сапога есть... (шнурок, пряжка, подошва, ремешки, пуговица).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б) В теплых краях обитает... (медведь, олень, волк, верблюд, тюлень),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в) В году... (24, 3, 12, 4, 7) месяцев.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г) Месяц зимы... (сентябрь, октябрь, февраль, ноябрь, март).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д) Самая большая птица... (ворона, страус, сокол, воробей, орел, сова).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в) Розы — это... (фрукты, овощи, цветы, дерево).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ж) Сова всегда спит... (ночью, утром, днем, вечером),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з) Вода всегда... (прозрачная, холодная, жидкая, белая, вкусная).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и) У дерева всегда есть... (листья, цветы, плоды, корень, т*ень).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к) Город России... (Париж, Москва, Лондон, Варшава, София).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II субтест</w:t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Инструкция: «Здесь в каждой строке написано пять слов. Четыре слова можно объединить в одну группу и дать ей название. Одно слово к этой группе не относится. Это "лишнее" слово надо исключить».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а) Тюльпан, лилия, фасоль, ромашка, фиалка.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б) Река, озеро, море, мост, болото.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в) Кукла, медвежонок, песок, мяч, лопата.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г) Киев, Харьков, Москва, Донецк, Одесса.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д) Тополь, береза, орешник, липа, осина.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е) Окружность, треугольник, четырехугольник, указка, квадрат.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ж) Иван, Петр, Нестеров, Макар, Андрей.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з) Курица, петух, лебедь, гусь, индюк.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и) Число, деление, вычитание, сложение, умножение.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к) Веселый, быстрый, грустный, вкусный, осторожный.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III субтест</w:t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Инструкция: «Внимательно прочитай эти примеры. В них слева написаны два слова, которые как-то связаны между собой. Справа — другая группа слов: одно слово над чертой и пять слов под чертой. Нужно выбрать одно слово внизу, которое связано со словом вверху, точно так же, как это сделано в словах, стоящих слева. Например:</w:t>
      </w:r>
    </w:p>
    <w:tbl>
      <w:tblPr>
        <w:tblW w:w="33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90"/>
        <w:gridCol w:w="247"/>
        <w:gridCol w:w="4137"/>
      </w:tblGrid>
      <w:tr w:rsidR="003A116A" w:rsidRPr="003A116A" w:rsidTr="003A116A">
        <w:trPr>
          <w:tblCellSpacing w:w="0" w:type="dxa"/>
        </w:trPr>
        <w:tc>
          <w:tcPr>
            <w:tcW w:w="1450" w:type="pct"/>
            <w:vAlign w:val="center"/>
            <w:hideMark/>
          </w:tcPr>
          <w:tbl>
            <w:tblPr>
              <w:tblW w:w="44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5"/>
            </w:tblGrid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</w:t>
                  </w:r>
                </w:p>
              </w:tc>
            </w:tr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деревья</w:t>
                  </w:r>
                </w:p>
              </w:tc>
            </w:tr>
          </w:tbl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  <w:hideMark/>
          </w:tcPr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350" w:type="pct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4"/>
            </w:tblGrid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</w:t>
                  </w:r>
                </w:p>
              </w:tc>
            </w:tr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сад, двор, город, театр, </w:t>
                  </w:r>
                  <w:r w:rsidRPr="003A11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книги</w:t>
                  </w:r>
                </w:p>
              </w:tc>
            </w:tr>
          </w:tbl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16A" w:rsidRPr="003A116A" w:rsidRDefault="003A116A" w:rsidP="003A116A">
      <w:pPr>
        <w:shd w:val="clear" w:color="auto" w:fill="FFFFFF"/>
        <w:spacing w:after="176" w:line="263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33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90"/>
        <w:gridCol w:w="247"/>
        <w:gridCol w:w="4137"/>
      </w:tblGrid>
      <w:tr w:rsidR="003A116A" w:rsidRPr="003A116A" w:rsidTr="003A116A">
        <w:trPr>
          <w:tblCellSpacing w:w="0" w:type="dxa"/>
        </w:trPr>
        <w:tc>
          <w:tcPr>
            <w:tcW w:w="1450" w:type="pct"/>
            <w:vAlign w:val="center"/>
            <w:hideMark/>
          </w:tcPr>
          <w:tbl>
            <w:tblPr>
              <w:tblW w:w="44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5"/>
            </w:tblGrid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бежать</w:t>
                  </w:r>
                </w:p>
              </w:tc>
            </w:tr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кричать</w:t>
                  </w:r>
                </w:p>
              </w:tc>
            </w:tr>
          </w:tbl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  <w:hideMark/>
          </w:tcPr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350" w:type="pct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4"/>
            </w:tblGrid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стоять</w:t>
                  </w:r>
                </w:p>
              </w:tc>
            </w:tr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молчать</w:t>
                  </w: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ползать, шуметь, звать, плакать</w:t>
                  </w:r>
                </w:p>
              </w:tc>
            </w:tr>
          </w:tbl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16A" w:rsidRPr="003A116A" w:rsidRDefault="003A116A" w:rsidP="003A116A">
      <w:pPr>
        <w:shd w:val="clear" w:color="auto" w:fill="FFFFFF"/>
        <w:spacing w:after="176" w:line="263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Значит нужно установить, во-первых, какая связь существует между словами слева, а затем установить такую же связь в правой части.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а)</w:t>
      </w:r>
    </w:p>
    <w:tbl>
      <w:tblPr>
        <w:tblW w:w="33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90"/>
        <w:gridCol w:w="247"/>
        <w:gridCol w:w="4137"/>
      </w:tblGrid>
      <w:tr w:rsidR="003A116A" w:rsidRPr="003A116A" w:rsidTr="003A116A">
        <w:trPr>
          <w:tblCellSpacing w:w="0" w:type="dxa"/>
        </w:trPr>
        <w:tc>
          <w:tcPr>
            <w:tcW w:w="1450" w:type="pct"/>
            <w:vAlign w:val="center"/>
            <w:hideMark/>
          </w:tcPr>
          <w:tbl>
            <w:tblPr>
              <w:tblW w:w="44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5"/>
            </w:tblGrid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огурец</w:t>
                  </w:r>
                </w:p>
              </w:tc>
            </w:tr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овощ</w:t>
                  </w:r>
                </w:p>
              </w:tc>
            </w:tr>
          </w:tbl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  <w:hideMark/>
          </w:tcPr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350" w:type="pct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4"/>
            </w:tblGrid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георгин</w:t>
                  </w:r>
                </w:p>
              </w:tc>
            </w:tr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сорняк, роса, садик, цветок, земля</w:t>
                  </w:r>
                </w:p>
              </w:tc>
            </w:tr>
          </w:tbl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16A" w:rsidRPr="003A116A" w:rsidRDefault="003A116A" w:rsidP="003A116A">
      <w:pPr>
        <w:shd w:val="clear" w:color="auto" w:fill="FFFFFF"/>
        <w:spacing w:after="176" w:line="263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</w:t>
      </w:r>
    </w:p>
    <w:tbl>
      <w:tblPr>
        <w:tblW w:w="33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90"/>
        <w:gridCol w:w="247"/>
        <w:gridCol w:w="4137"/>
      </w:tblGrid>
      <w:tr w:rsidR="003A116A" w:rsidRPr="003A116A" w:rsidTr="003A116A">
        <w:trPr>
          <w:tblCellSpacing w:w="0" w:type="dxa"/>
        </w:trPr>
        <w:tc>
          <w:tcPr>
            <w:tcW w:w="1450" w:type="pct"/>
            <w:vAlign w:val="center"/>
            <w:hideMark/>
          </w:tcPr>
          <w:tbl>
            <w:tblPr>
              <w:tblW w:w="44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5"/>
            </w:tblGrid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</w:tr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</w:t>
                  </w:r>
                </w:p>
              </w:tc>
            </w:tr>
          </w:tbl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  <w:hideMark/>
          </w:tcPr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350" w:type="pct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4"/>
            </w:tblGrid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койка, больные, палата, термометр</w:t>
                  </w:r>
                </w:p>
              </w:tc>
            </w:tr>
          </w:tbl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16A" w:rsidRPr="003A116A" w:rsidRDefault="003A116A" w:rsidP="003A116A">
      <w:pPr>
        <w:shd w:val="clear" w:color="auto" w:fill="FFFFFF"/>
        <w:spacing w:after="176" w:line="263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</w:t>
      </w:r>
    </w:p>
    <w:tbl>
      <w:tblPr>
        <w:tblW w:w="33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90"/>
        <w:gridCol w:w="247"/>
        <w:gridCol w:w="4137"/>
      </w:tblGrid>
      <w:tr w:rsidR="003A116A" w:rsidRPr="003A116A" w:rsidTr="003A116A">
        <w:trPr>
          <w:tblCellSpacing w:w="0" w:type="dxa"/>
        </w:trPr>
        <w:tc>
          <w:tcPr>
            <w:tcW w:w="1450" w:type="pct"/>
            <w:vAlign w:val="center"/>
            <w:hideMark/>
          </w:tcPr>
          <w:tbl>
            <w:tblPr>
              <w:tblW w:w="44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5"/>
            </w:tblGrid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огород</w:t>
                  </w:r>
                </w:p>
              </w:tc>
            </w:tr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морковь</w:t>
                  </w:r>
                </w:p>
              </w:tc>
            </w:tr>
          </w:tbl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  <w:hideMark/>
          </w:tcPr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350" w:type="pct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4"/>
            </w:tblGrid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сад</w:t>
                  </w:r>
                </w:p>
              </w:tc>
            </w:tr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забор,яблоня,колодец, скамейка, цветы</w:t>
                  </w:r>
                </w:p>
              </w:tc>
            </w:tr>
          </w:tbl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16A" w:rsidRPr="003A116A" w:rsidRDefault="003A116A" w:rsidP="003A116A">
      <w:pPr>
        <w:shd w:val="clear" w:color="auto" w:fill="FFFFFF"/>
        <w:spacing w:after="176" w:line="263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</w:t>
      </w:r>
    </w:p>
    <w:tbl>
      <w:tblPr>
        <w:tblW w:w="33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90"/>
        <w:gridCol w:w="247"/>
        <w:gridCol w:w="4137"/>
      </w:tblGrid>
      <w:tr w:rsidR="003A116A" w:rsidRPr="003A116A" w:rsidTr="003A116A">
        <w:trPr>
          <w:tblCellSpacing w:w="0" w:type="dxa"/>
        </w:trPr>
        <w:tc>
          <w:tcPr>
            <w:tcW w:w="1450" w:type="pct"/>
            <w:vAlign w:val="center"/>
            <w:hideMark/>
          </w:tcPr>
          <w:tbl>
            <w:tblPr>
              <w:tblW w:w="44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5"/>
            </w:tblGrid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цветок</w:t>
                  </w:r>
                </w:p>
              </w:tc>
            </w:tr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ваза</w:t>
                  </w:r>
                </w:p>
              </w:tc>
            </w:tr>
          </w:tbl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  <w:hideMark/>
          </w:tcPr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350" w:type="pct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4"/>
            </w:tblGrid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птица</w:t>
                  </w:r>
                </w:p>
              </w:tc>
            </w:tr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клюв, чайка, гнездо, яйцо, перья</w:t>
                  </w:r>
                </w:p>
              </w:tc>
            </w:tr>
          </w:tbl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16A" w:rsidRPr="003A116A" w:rsidRDefault="003A116A" w:rsidP="003A116A">
      <w:pPr>
        <w:shd w:val="clear" w:color="auto" w:fill="FFFFFF"/>
        <w:spacing w:after="176" w:line="263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д)</w:t>
      </w:r>
    </w:p>
    <w:tbl>
      <w:tblPr>
        <w:tblW w:w="33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90"/>
        <w:gridCol w:w="247"/>
        <w:gridCol w:w="4137"/>
      </w:tblGrid>
      <w:tr w:rsidR="003A116A" w:rsidRPr="003A116A" w:rsidTr="003A116A">
        <w:trPr>
          <w:tblCellSpacing w:w="0" w:type="dxa"/>
        </w:trPr>
        <w:tc>
          <w:tcPr>
            <w:tcW w:w="1450" w:type="pct"/>
            <w:vAlign w:val="center"/>
            <w:hideMark/>
          </w:tcPr>
          <w:tbl>
            <w:tblPr>
              <w:tblW w:w="44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5"/>
            </w:tblGrid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перчатка</w:t>
                  </w:r>
                </w:p>
              </w:tc>
            </w:tr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рука</w:t>
                  </w:r>
                </w:p>
              </w:tc>
            </w:tr>
          </w:tbl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  <w:hideMark/>
          </w:tcPr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350" w:type="pct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4"/>
            </w:tblGrid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сапог</w:t>
                  </w:r>
                </w:p>
              </w:tc>
            </w:tr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чулки, подошва, кожа, нога, щетка</w:t>
                  </w:r>
                </w:p>
              </w:tc>
            </w:tr>
          </w:tbl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16A" w:rsidRPr="003A116A" w:rsidRDefault="003A116A" w:rsidP="003A116A">
      <w:pPr>
        <w:shd w:val="clear" w:color="auto" w:fill="FFFFFF"/>
        <w:spacing w:after="176" w:line="263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е)</w:t>
      </w:r>
    </w:p>
    <w:tbl>
      <w:tblPr>
        <w:tblW w:w="33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90"/>
        <w:gridCol w:w="247"/>
        <w:gridCol w:w="4137"/>
      </w:tblGrid>
      <w:tr w:rsidR="003A116A" w:rsidRPr="003A116A" w:rsidTr="003A116A">
        <w:trPr>
          <w:tblCellSpacing w:w="0" w:type="dxa"/>
        </w:trPr>
        <w:tc>
          <w:tcPr>
            <w:tcW w:w="1450" w:type="pct"/>
            <w:vAlign w:val="center"/>
            <w:hideMark/>
          </w:tcPr>
          <w:tbl>
            <w:tblPr>
              <w:tblW w:w="44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5"/>
            </w:tblGrid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темный</w:t>
                  </w:r>
                </w:p>
              </w:tc>
            </w:tr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светлый</w:t>
                  </w:r>
                </w:p>
              </w:tc>
            </w:tr>
          </w:tbl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  <w:hideMark/>
          </w:tcPr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350" w:type="pct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4"/>
            </w:tblGrid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мокрый</w:t>
                  </w:r>
                </w:p>
              </w:tc>
            </w:tr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солнечный, скользкий, сухой, теплый, холодный</w:t>
                  </w:r>
                </w:p>
              </w:tc>
            </w:tr>
          </w:tbl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16A" w:rsidRPr="003A116A" w:rsidRDefault="003A116A" w:rsidP="003A116A">
      <w:pPr>
        <w:shd w:val="clear" w:color="auto" w:fill="FFFFFF"/>
        <w:spacing w:after="176" w:line="263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ж)</w:t>
      </w:r>
    </w:p>
    <w:tbl>
      <w:tblPr>
        <w:tblW w:w="33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90"/>
        <w:gridCol w:w="247"/>
        <w:gridCol w:w="4137"/>
      </w:tblGrid>
      <w:tr w:rsidR="003A116A" w:rsidRPr="003A116A" w:rsidTr="003A116A">
        <w:trPr>
          <w:tblCellSpacing w:w="0" w:type="dxa"/>
        </w:trPr>
        <w:tc>
          <w:tcPr>
            <w:tcW w:w="1450" w:type="pct"/>
            <w:vAlign w:val="center"/>
            <w:hideMark/>
          </w:tcPr>
          <w:tbl>
            <w:tblPr>
              <w:tblW w:w="44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5"/>
            </w:tblGrid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часы</w:t>
                  </w:r>
                </w:p>
              </w:tc>
            </w:tr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</w:tr>
          </w:tbl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  <w:hideMark/>
          </w:tcPr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350" w:type="pct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4"/>
            </w:tblGrid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термометр</w:t>
                  </w:r>
                </w:p>
              </w:tc>
            </w:tr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стекло, температура, кровать, больной, врач</w:t>
                  </w:r>
                </w:p>
              </w:tc>
            </w:tr>
          </w:tbl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16A" w:rsidRPr="003A116A" w:rsidRDefault="003A116A" w:rsidP="003A116A">
      <w:pPr>
        <w:shd w:val="clear" w:color="auto" w:fill="FFFFFF"/>
        <w:spacing w:after="176" w:line="263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з)</w:t>
      </w:r>
    </w:p>
    <w:tbl>
      <w:tblPr>
        <w:tblW w:w="33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90"/>
        <w:gridCol w:w="247"/>
        <w:gridCol w:w="4137"/>
      </w:tblGrid>
      <w:tr w:rsidR="003A116A" w:rsidRPr="003A116A" w:rsidTr="003A116A">
        <w:trPr>
          <w:tblCellSpacing w:w="0" w:type="dxa"/>
        </w:trPr>
        <w:tc>
          <w:tcPr>
            <w:tcW w:w="1450" w:type="pct"/>
            <w:vAlign w:val="center"/>
            <w:hideMark/>
          </w:tcPr>
          <w:tbl>
            <w:tblPr>
              <w:tblW w:w="44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5"/>
            </w:tblGrid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машина</w:t>
                  </w:r>
                </w:p>
              </w:tc>
            </w:tr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</w:t>
                  </w:r>
                </w:p>
              </w:tc>
            </w:tr>
          </w:tbl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  <w:hideMark/>
          </w:tcPr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350" w:type="pct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4"/>
            </w:tblGrid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лодка</w:t>
                  </w:r>
                </w:p>
              </w:tc>
            </w:tr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река, моряк, болото, парус, волна</w:t>
                  </w:r>
                </w:p>
              </w:tc>
            </w:tr>
          </w:tbl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16A" w:rsidRPr="003A116A" w:rsidRDefault="003A116A" w:rsidP="003A116A">
      <w:pPr>
        <w:shd w:val="clear" w:color="auto" w:fill="FFFFFF"/>
        <w:spacing w:after="176" w:line="263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и)</w:t>
      </w:r>
    </w:p>
    <w:tbl>
      <w:tblPr>
        <w:tblW w:w="33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90"/>
        <w:gridCol w:w="247"/>
        <w:gridCol w:w="4137"/>
      </w:tblGrid>
      <w:tr w:rsidR="003A116A" w:rsidRPr="003A116A" w:rsidTr="003A116A">
        <w:trPr>
          <w:tblCellSpacing w:w="0" w:type="dxa"/>
        </w:trPr>
        <w:tc>
          <w:tcPr>
            <w:tcW w:w="1450" w:type="pct"/>
            <w:vAlign w:val="center"/>
            <w:hideMark/>
          </w:tcPr>
          <w:tbl>
            <w:tblPr>
              <w:tblW w:w="44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5"/>
            </w:tblGrid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стул</w:t>
                  </w:r>
                </w:p>
              </w:tc>
            </w:tr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деревянный</w:t>
                  </w:r>
                </w:p>
              </w:tc>
            </w:tr>
          </w:tbl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  <w:hideMark/>
          </w:tcPr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350" w:type="pct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4"/>
            </w:tblGrid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игла</w:t>
                  </w:r>
                </w:p>
              </w:tc>
            </w:tr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острая, тонкая, блестящая, короткая, </w:t>
                  </w: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стальная</w:t>
                  </w:r>
                </w:p>
              </w:tc>
            </w:tr>
          </w:tbl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16A" w:rsidRPr="003A116A" w:rsidRDefault="003A116A" w:rsidP="003A116A">
      <w:pPr>
        <w:shd w:val="clear" w:color="auto" w:fill="FFFFFF"/>
        <w:spacing w:after="176" w:line="263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к)</w:t>
      </w:r>
    </w:p>
    <w:tbl>
      <w:tblPr>
        <w:tblW w:w="33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90"/>
        <w:gridCol w:w="247"/>
        <w:gridCol w:w="4137"/>
      </w:tblGrid>
      <w:tr w:rsidR="003A116A" w:rsidRPr="003A116A" w:rsidTr="003A116A">
        <w:trPr>
          <w:tblCellSpacing w:w="0" w:type="dxa"/>
        </w:trPr>
        <w:tc>
          <w:tcPr>
            <w:tcW w:w="1450" w:type="pct"/>
            <w:vAlign w:val="center"/>
            <w:hideMark/>
          </w:tcPr>
          <w:tbl>
            <w:tblPr>
              <w:tblW w:w="44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5"/>
            </w:tblGrid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</w:t>
                  </w:r>
                </w:p>
              </w:tc>
            </w:tr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скатерть</w:t>
                  </w:r>
                </w:p>
              </w:tc>
            </w:tr>
          </w:tbl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  <w:hideMark/>
          </w:tcPr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350" w:type="pct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4"/>
            </w:tblGrid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</w:t>
                  </w:r>
                </w:p>
              </w:tc>
            </w:tr>
            <w:tr w:rsidR="003A116A" w:rsidRPr="003A11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16A" w:rsidRPr="003A116A" w:rsidRDefault="003A116A" w:rsidP="003A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мебель, ковер, пыль, доска, гвозди</w:t>
                  </w:r>
                </w:p>
              </w:tc>
            </w:tr>
          </w:tbl>
          <w:p w:rsidR="003A116A" w:rsidRPr="003A116A" w:rsidRDefault="003A116A" w:rsidP="003A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16A" w:rsidRPr="003A116A" w:rsidRDefault="003A116A" w:rsidP="003A116A">
      <w:pPr>
        <w:shd w:val="clear" w:color="auto" w:fill="FFFFFF"/>
        <w:spacing w:after="240" w:line="263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IV субтест</w:t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Инструкция: «Эти пары слов можно назвать одним словом, например: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Брюки, платье, пиджак ... — одежда.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Придумай название к каждой паре»: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a) Метла, лопата...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б) Окунь, карась...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в) Лето, зима...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г) Огурец, помидор...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д) Сирень, шиповник.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е) Шкаф, диван...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ж) День, ночь...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з) Слон, муравей...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и) Июнь, июль...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к) Дерево, цветок...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Правильные ответы: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I субтест: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а) подошва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б) верблюд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в) 12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г) февраль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д) страус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е) цветы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ж) днем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з) жидкая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и)корень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к) Москва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II субтест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а) фасоль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б) мост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в) песок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г) Москва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д) орешник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е) указка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ж) Нестеров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з) лебедь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и) число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к) вкусный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III субтест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з) георгин / цветок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б) врач / больной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в) сад / яблоня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г) птица / гнездо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д) сапог / нога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е) мокрый / сухой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ж) термометр / температура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з) лодка / парус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и) игла / стальная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к) пол / ковер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IVсубтест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а) рабочие инструменты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б) рыба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в) время года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г) овощ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д) куст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е) мебель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ж) время суток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з) животное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и) месяцы лета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к) растения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Обработка результатов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 субтест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Если ответ на первое задание правильный, задаётся вопрос "почему не шнурок?" При правильном объяснении решение оценивается в 1 балл, при неправильном - 0,5 балла.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Если ответ ошибочный, ребенку оказывается помощь — ему предлагается подумать и дать другой, правильный ответ (стимулирующая помощь). За правильный ответ после второй попытки ставится 0,5 балла. Если ответ снова неправильный, выясняется понимание ребенком слова «всегда», что важно для решения 6 из 10 заданий того же субтеста. При решении последующих заданий I субтеста уточняющие вопросы не задаются.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// субтест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Если ответ на первое задание правильный, задается вопрос: «Почему?» При правильном объяснении ставится 1 балл, при ошибочном — 0,5 балла. Если ответ ошибочный, оказывается помощь, аналогичная описанной выше. За правильный ответ после второй попытки ставится 0,5 балла. При ответах на 7, 9,10-е (ж, и, к) задания дополнительные вопросы не задаются, так как дети младшего школьного возраста еще не могут сформулировать принцип обобщения, используемый для решения этих заданий. При ответе на 7-е (ж) задание II субтеста дополнительный вопрос также не задается, так как эмпирически обнаружено, что если ребенок правильно решает это задание, то он владеет такими понятиями, как «имя» и «фамилия».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III субтест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За правильный ответ — 1 балл, за ответ после второй попытки — 0,5 балла.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IV субтест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При неправильном ответе предлагается подумать еще. Оценки аналогичны вышеприведенным. При решении III и IV субтестов уточняющие вопросы не задаются.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При обработке результатов исследования для каждого ребенка подсчитывается сумма баллов, полученных за выполнение каждого субтеста, и общая балльная оценка за четыре субтеста в целом. Максимальное количество баллов, которое может набрать обследуемый за решение всех четырех субтестов, — 40 (100% оценки успешности). Кроме того, целесообразно отдельно подсчитать общую суммарную оценку за выполнение заданий при второй попытке (после стимулирующей помощи).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lastRenderedPageBreak/>
        <w:t>Интерпретация.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Увеличение числа правильных ответов после того, как экспериментатор предлагает ребенку подумать еще, может указывать на недостаточный уровень произвольного внимания, импульсивность ответов. Суммарная оценка за вторую попытку — дополнительный показатель, полезный для решения вопроса о том, к какой из групп детей с ЗПР относится обследуемый. Оценка успешности (ОУ) решения словесных субтестов определяется по формуле: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A116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ОУ = х • 100% / 40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где х — сумма баллов, полученных испытуемым. На основе анализа распределения индивидуальных данных (с учетом стандартных отклонений) были определены следующие уровни успешности нормально развивающихся детей и учащихся с ЗПР: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4-й уровень успешности — 32 балла и более (80—100% ОУ),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3-й уровень — 31,5—26 баллов (79,0—65%),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2-й уровень — 25,5—20 баллов (64,9—50%),</w:t>
      </w:r>
      <w:r w:rsidRPr="003A11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1-й уровень — 19,5 и менее (49,9% и ниже).</w:t>
      </w:r>
      <w:r w:rsidRPr="003A116A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</w:p>
    <w:p w:rsidR="003A116A" w:rsidRPr="003A116A" w:rsidRDefault="003A116A" w:rsidP="003A116A">
      <w:pPr>
        <w:numPr>
          <w:ilvl w:val="0"/>
          <w:numId w:val="1"/>
        </w:numPr>
        <w:shd w:val="clear" w:color="auto" w:fill="EAECF8"/>
        <w:spacing w:before="211" w:after="18" w:line="263" w:lineRule="atLeast"/>
        <w:ind w:left="228" w:right="387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</w:pPr>
      <w:hyperlink r:id="rId5" w:history="1">
        <w:r w:rsidRPr="003A116A">
          <w:rPr>
            <w:rFonts w:ascii="Verdana" w:eastAsia="Times New Roman" w:hAnsi="Verdana" w:cs="Times New Roman"/>
            <w:b/>
            <w:bCs/>
            <w:color w:val="FFFFFF"/>
            <w:sz w:val="19"/>
            <w:lang w:eastAsia="ru-RU"/>
          </w:rPr>
          <w:t>Рисуночные тесты</w:t>
        </w:r>
      </w:hyperlink>
    </w:p>
    <w:p w:rsidR="003A116A" w:rsidRPr="003A116A" w:rsidRDefault="003A116A" w:rsidP="003A116A">
      <w:pPr>
        <w:numPr>
          <w:ilvl w:val="0"/>
          <w:numId w:val="1"/>
        </w:numPr>
        <w:shd w:val="clear" w:color="auto" w:fill="EAECF8"/>
        <w:spacing w:before="211" w:after="18" w:line="263" w:lineRule="atLeast"/>
        <w:ind w:left="228" w:right="387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</w:pPr>
      <w:hyperlink r:id="rId6" w:history="1">
        <w:r w:rsidRPr="003A116A">
          <w:rPr>
            <w:rFonts w:ascii="Verdana" w:eastAsia="Times New Roman" w:hAnsi="Verdana" w:cs="Times New Roman"/>
            <w:b/>
            <w:bCs/>
            <w:color w:val="FFFFFF"/>
            <w:sz w:val="19"/>
            <w:lang w:eastAsia="ru-RU"/>
          </w:rPr>
          <w:t>Тесты для взрослых</w:t>
        </w:r>
      </w:hyperlink>
    </w:p>
    <w:p w:rsidR="003A116A" w:rsidRPr="003A116A" w:rsidRDefault="003A116A" w:rsidP="003A116A">
      <w:pPr>
        <w:numPr>
          <w:ilvl w:val="0"/>
          <w:numId w:val="1"/>
        </w:numPr>
        <w:shd w:val="clear" w:color="auto" w:fill="EAECF8"/>
        <w:spacing w:before="211" w:after="18" w:line="263" w:lineRule="atLeast"/>
        <w:ind w:left="228" w:right="387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</w:pPr>
      <w:hyperlink r:id="rId7" w:history="1">
        <w:r w:rsidRPr="003A116A">
          <w:rPr>
            <w:rFonts w:ascii="Verdana" w:eastAsia="Times New Roman" w:hAnsi="Verdana" w:cs="Times New Roman"/>
            <w:b/>
            <w:bCs/>
            <w:color w:val="000033"/>
            <w:sz w:val="19"/>
            <w:lang w:eastAsia="ru-RU"/>
          </w:rPr>
          <w:t>Тесты для детей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Методика «Дерево»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9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Методика "Эгоцентрические ассоциации"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0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Характерологический опросник (подростковый вариант)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1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Исследование опосредованного запоминания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2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Методика «Цветовой тест отношений»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3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Методика определения уровня умственного развития детей младшего школьного возраста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4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Профессиональное самоопределение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5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Выявление особенностей темперамента и уверенности в себе (для 5 класса)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6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Потребности в достижениях и отношение к нравственным нормам (для 6 класса)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7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Развитии волевых качеств и определение предпочтений (для 7 класса)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8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Cпособности к общению и мотивы выбора профессии (для 8 класса)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9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Диагностика уровня школьной тревожности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0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Выявление интересов и направленности личности (для 9 класса)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1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Отношения подростка с коллективом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2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Темперамент ребенка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3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Ориентировочный тест школьной зрелости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4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Определение рукости ребенка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5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Тест на тревожность ребёнка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6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Как выявить гиперактивного ребёнка?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7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Как проверить уровень психического развития ребенка 4 - 5 лет.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8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Методика оценки уровня развития дошкольника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9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Критерии оценки агрессивности ребенка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30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Творческий потенциал ребенка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31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Выявление предрасположенности подростка к употреблению психоактивных веществ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32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Тест “СКАЗКА”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33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Тест «Способность к обучению в школе»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34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Логопедическое обследование - диагностика периферических нарушений речи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35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Методика выявления детских страхов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36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Тест тревожности (В.Амен)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37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Тест-путешествие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38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Детский апперцептивный тест ( CAT ) (Л. Беллак)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39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Перечень адаптивных механизмов в рассказах CAT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40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Механизмы психологической защиты в рассказах по САТ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41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Потребности и мотивы ребенка в рассказах по САТ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42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Методика «Таблицы Шульте»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43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Методика рисуночной фрустрации Розенцвейга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44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Рисованный апперцептивный тест (РАТ)</w:t>
        </w:r>
      </w:hyperlink>
    </w:p>
    <w:p w:rsidR="003A116A" w:rsidRPr="003A116A" w:rsidRDefault="003A116A" w:rsidP="003A116A">
      <w:pPr>
        <w:numPr>
          <w:ilvl w:val="0"/>
          <w:numId w:val="2"/>
        </w:numPr>
        <w:shd w:val="clear" w:color="auto" w:fill="EAECF8"/>
        <w:spacing w:before="211" w:after="211" w:line="263" w:lineRule="atLeast"/>
        <w:ind w:left="228" w:right="38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45" w:history="1">
        <w:r w:rsidRPr="003A116A">
          <w:rPr>
            <w:rFonts w:ascii="Verdana" w:eastAsia="Times New Roman" w:hAnsi="Verdana" w:cs="Times New Roman"/>
            <w:color w:val="FFFFFF"/>
            <w:sz w:val="18"/>
            <w:lang w:eastAsia="ru-RU"/>
          </w:rPr>
          <w:t>Методика оценки уровня развития зрительного восприятия детей 5—7,5 лет</w:t>
        </w:r>
      </w:hyperlink>
    </w:p>
    <w:p w:rsidR="0007367B" w:rsidRDefault="0007367B"/>
    <w:sectPr w:rsidR="0007367B" w:rsidSect="0007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D7F"/>
    <w:multiLevelType w:val="multilevel"/>
    <w:tmpl w:val="C7D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35891"/>
    <w:multiLevelType w:val="multilevel"/>
    <w:tmpl w:val="1BC0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3A116A"/>
    <w:rsid w:val="0007367B"/>
    <w:rsid w:val="003A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7B"/>
  </w:style>
  <w:style w:type="paragraph" w:styleId="2">
    <w:name w:val="heading 2"/>
    <w:basedOn w:val="a"/>
    <w:link w:val="20"/>
    <w:uiPriority w:val="9"/>
    <w:qFormat/>
    <w:rsid w:val="003A1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1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A116A"/>
  </w:style>
  <w:style w:type="character" w:styleId="a3">
    <w:name w:val="Strong"/>
    <w:basedOn w:val="a0"/>
    <w:uiPriority w:val="22"/>
    <w:qFormat/>
    <w:rsid w:val="003A116A"/>
    <w:rPr>
      <w:b/>
      <w:bCs/>
    </w:rPr>
  </w:style>
  <w:style w:type="character" w:styleId="a4">
    <w:name w:val="Hyperlink"/>
    <w:basedOn w:val="a0"/>
    <w:uiPriority w:val="99"/>
    <w:semiHidden/>
    <w:unhideWhenUsed/>
    <w:rsid w:val="003A11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2130">
          <w:marLeft w:val="0"/>
          <w:marRight w:val="0"/>
          <w:marTop w:val="351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867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91602">
              <w:marLeft w:val="0"/>
              <w:marRight w:val="176"/>
              <w:marTop w:val="176"/>
              <w:marBottom w:val="1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i-deti.ru/det-test/58.html" TargetMode="External"/><Relationship Id="rId13" Type="http://schemas.openxmlformats.org/officeDocument/2006/relationships/hyperlink" Target="http://www.eti-deti.ru/det-test/63.html" TargetMode="External"/><Relationship Id="rId18" Type="http://schemas.openxmlformats.org/officeDocument/2006/relationships/hyperlink" Target="http://www.eti-deti.ru/det-test/68.html" TargetMode="External"/><Relationship Id="rId26" Type="http://schemas.openxmlformats.org/officeDocument/2006/relationships/hyperlink" Target="http://www.eti-deti.ru/det-test/76.html" TargetMode="External"/><Relationship Id="rId39" Type="http://schemas.openxmlformats.org/officeDocument/2006/relationships/hyperlink" Target="http://www.eti-deti.ru/det-test/33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ti-deti.ru/det-test/71.html" TargetMode="External"/><Relationship Id="rId34" Type="http://schemas.openxmlformats.org/officeDocument/2006/relationships/hyperlink" Target="http://www.eti-deti.ru/det-test/311.html" TargetMode="External"/><Relationship Id="rId42" Type="http://schemas.openxmlformats.org/officeDocument/2006/relationships/hyperlink" Target="http://www.eti-deti.ru/det-test/347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eti-deti.ru/det-test/" TargetMode="External"/><Relationship Id="rId12" Type="http://schemas.openxmlformats.org/officeDocument/2006/relationships/hyperlink" Target="http://www.eti-deti.ru/det-test/62.html" TargetMode="External"/><Relationship Id="rId17" Type="http://schemas.openxmlformats.org/officeDocument/2006/relationships/hyperlink" Target="http://www.eti-deti.ru/det-test/67.html" TargetMode="External"/><Relationship Id="rId25" Type="http://schemas.openxmlformats.org/officeDocument/2006/relationships/hyperlink" Target="http://www.eti-deti.ru/det-test/75.html" TargetMode="External"/><Relationship Id="rId33" Type="http://schemas.openxmlformats.org/officeDocument/2006/relationships/hyperlink" Target="http://www.eti-deti.ru/det-test/291.html" TargetMode="External"/><Relationship Id="rId38" Type="http://schemas.openxmlformats.org/officeDocument/2006/relationships/hyperlink" Target="http://www.eti-deti.ru/det-test/333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ti-deti.ru/det-test/66.html" TargetMode="External"/><Relationship Id="rId20" Type="http://schemas.openxmlformats.org/officeDocument/2006/relationships/hyperlink" Target="http://www.eti-deti.ru/det-test/69.html" TargetMode="External"/><Relationship Id="rId29" Type="http://schemas.openxmlformats.org/officeDocument/2006/relationships/hyperlink" Target="http://www.eti-deti.ru/det-test/79.html" TargetMode="External"/><Relationship Id="rId41" Type="http://schemas.openxmlformats.org/officeDocument/2006/relationships/hyperlink" Target="http://www.eti-deti.ru/det-test/33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ti-deti.ru/vzr-test/" TargetMode="External"/><Relationship Id="rId11" Type="http://schemas.openxmlformats.org/officeDocument/2006/relationships/hyperlink" Target="http://www.eti-deti.ru/det-test/61.html" TargetMode="External"/><Relationship Id="rId24" Type="http://schemas.openxmlformats.org/officeDocument/2006/relationships/hyperlink" Target="http://www.eti-deti.ru/det-test/74.html" TargetMode="External"/><Relationship Id="rId32" Type="http://schemas.openxmlformats.org/officeDocument/2006/relationships/hyperlink" Target="http://www.eti-deti.ru/det-test/115.html" TargetMode="External"/><Relationship Id="rId37" Type="http://schemas.openxmlformats.org/officeDocument/2006/relationships/hyperlink" Target="http://www.eti-deti.ru/det-test/322.html" TargetMode="External"/><Relationship Id="rId40" Type="http://schemas.openxmlformats.org/officeDocument/2006/relationships/hyperlink" Target="http://www.eti-deti.ru/det-test/336.html" TargetMode="External"/><Relationship Id="rId45" Type="http://schemas.openxmlformats.org/officeDocument/2006/relationships/hyperlink" Target="http://www.eti-deti.ru/det-test/519.html" TargetMode="External"/><Relationship Id="rId5" Type="http://schemas.openxmlformats.org/officeDocument/2006/relationships/hyperlink" Target="http://www.eti-deti.ru/ris-test/" TargetMode="External"/><Relationship Id="rId15" Type="http://schemas.openxmlformats.org/officeDocument/2006/relationships/hyperlink" Target="http://www.eti-deti.ru/det-test/65.html" TargetMode="External"/><Relationship Id="rId23" Type="http://schemas.openxmlformats.org/officeDocument/2006/relationships/hyperlink" Target="http://www.eti-deti.ru/det-test/73.html" TargetMode="External"/><Relationship Id="rId28" Type="http://schemas.openxmlformats.org/officeDocument/2006/relationships/hyperlink" Target="http://www.eti-deti.ru/det-test/78.html" TargetMode="External"/><Relationship Id="rId36" Type="http://schemas.openxmlformats.org/officeDocument/2006/relationships/hyperlink" Target="http://www.eti-deti.ru/det-test/315.html" TargetMode="External"/><Relationship Id="rId10" Type="http://schemas.openxmlformats.org/officeDocument/2006/relationships/hyperlink" Target="http://www.eti-deti.ru/det-test/60.html" TargetMode="External"/><Relationship Id="rId19" Type="http://schemas.openxmlformats.org/officeDocument/2006/relationships/hyperlink" Target="http://www.eti-deti.ru/det-test/70.html" TargetMode="External"/><Relationship Id="rId31" Type="http://schemas.openxmlformats.org/officeDocument/2006/relationships/hyperlink" Target="http://www.eti-deti.ru/det-test/81.html" TargetMode="External"/><Relationship Id="rId44" Type="http://schemas.openxmlformats.org/officeDocument/2006/relationships/hyperlink" Target="http://www.eti-deti.ru/det-test/35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i-deti.ru/det-test/59.html" TargetMode="External"/><Relationship Id="rId14" Type="http://schemas.openxmlformats.org/officeDocument/2006/relationships/hyperlink" Target="http://www.eti-deti.ru/det-test/64.html" TargetMode="External"/><Relationship Id="rId22" Type="http://schemas.openxmlformats.org/officeDocument/2006/relationships/hyperlink" Target="http://www.eti-deti.ru/det-test/72.html" TargetMode="External"/><Relationship Id="rId27" Type="http://schemas.openxmlformats.org/officeDocument/2006/relationships/hyperlink" Target="http://www.eti-deti.ru/det-test/77.html" TargetMode="External"/><Relationship Id="rId30" Type="http://schemas.openxmlformats.org/officeDocument/2006/relationships/hyperlink" Target="http://www.eti-deti.ru/det-test/80.html" TargetMode="External"/><Relationship Id="rId35" Type="http://schemas.openxmlformats.org/officeDocument/2006/relationships/hyperlink" Target="http://www.eti-deti.ru/det-test/313.html" TargetMode="External"/><Relationship Id="rId43" Type="http://schemas.openxmlformats.org/officeDocument/2006/relationships/hyperlink" Target="http://www.eti-deti.ru/det-test/3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1713</Words>
  <Characters>9770</Characters>
  <Application>Microsoft Office Word</Application>
  <DocSecurity>0</DocSecurity>
  <Lines>81</Lines>
  <Paragraphs>22</Paragraphs>
  <ScaleCrop>false</ScaleCrop>
  <Company>Microsoft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2014-11-20T09:17:00Z</dcterms:created>
  <dcterms:modified xsi:type="dcterms:W3CDTF">2014-11-20T09:46:00Z</dcterms:modified>
</cp:coreProperties>
</file>